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2D" w:rsidRPr="00DC612D" w:rsidRDefault="00DC612D" w:rsidP="00DC61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18"/>
        </w:rPr>
      </w:pPr>
      <w:bookmarkStart w:id="0" w:name="_GoBack"/>
      <w:r w:rsidRPr="00DC612D">
        <w:rPr>
          <w:rFonts w:ascii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</w:rPr>
        <w:t>МАШИНЫ ДЛЯ ГЛУБОКОЙ ОБРАБОТКИ ПОЧВЫ</w:t>
      </w:r>
    </w:p>
    <w:bookmarkEnd w:id="0"/>
    <w:p w:rsidR="00DC612D" w:rsidRPr="008D3848" w:rsidRDefault="00DC612D" w:rsidP="00DC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br/>
      </w:r>
    </w:p>
    <w:p w:rsidR="00DC612D" w:rsidRPr="008D3848" w:rsidRDefault="00DC612D" w:rsidP="00DC612D">
      <w:pPr>
        <w:shd w:val="clear" w:color="auto" w:fill="FFFFFF"/>
        <w:spacing w:after="27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Глубокой обработкой (глубже пахотного слоя) разрушают плужную подошву, препятствующую проникнове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нию корней растений в нижние слои почвы и затрудняющую по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ступление грунтовой воды в пахотный горизонт. Рыхлением подпахотного горизонта увеличивают мощность корнеобитаемого слоя, улучшают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возд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y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шный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>, водный и тепловой режи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мы почвы, активизируют биологические процессы, способствуют накоплению влаги, предотвращают ветровую и водную эрозию почвы. Глубокое рыхление проводят плугами общего назначения, снабженными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безотв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a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льными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корпусами и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рыхлительными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стой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ками,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плyгами-рыxлителями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чизельными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плугами и плугами со специальными рыхлителями. Навесные плуги-рыхлители ПРПВ-5-50 и ПРПВ-8-50 предназначены для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безотв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a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льной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обработки почвы на глубину до 40 см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cс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одновременным рыхлением пахотного и подпахотного горизонтов. Плуг ПРПВ-5-50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агрегатируют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с трактором T-150К, ПРПВ-8-50 — с трактором K-701. Ширина захвата соответ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ственно 2,5 и 4 м. Рама, навеска, опорные колеса с механизмом регулирования глубины обработки почвы и прицепка для борон, y этих плугов выполнены по типу плугов общего назначения.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а</w:t>
      </w:r>
      <w:r w:rsidRPr="008D3848">
        <w:rPr>
          <w:rFonts w:ascii="Tahoma" w:hAnsi="Tahoma" w:cs="Tahoma"/>
          <w:color w:val="000000"/>
          <w:sz w:val="18"/>
          <w:szCs w:val="18"/>
        </w:rPr>
        <w:t>–</w:t>
      </w:r>
      <w:proofErr w:type="gramEnd"/>
      <w:r w:rsidRPr="008D3848">
        <w:rPr>
          <w:rFonts w:ascii="Tahoma" w:hAnsi="Tahoma" w:cs="Tahoma"/>
          <w:color w:val="000000"/>
          <w:sz w:val="18"/>
          <w:szCs w:val="18"/>
        </w:rPr>
        <w:t xml:space="preserve"> образование плужной подошвы при работе лемешного плуга;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б</w:t>
      </w:r>
      <w:r w:rsidRPr="008D3848">
        <w:rPr>
          <w:rFonts w:ascii="Tahoma" w:hAnsi="Tahoma" w:cs="Tahoma"/>
          <w:color w:val="000000"/>
          <w:sz w:val="18"/>
          <w:szCs w:val="18"/>
        </w:rPr>
        <w:t>– передвижение воды и по</w:t>
      </w:r>
      <w:r w:rsidRPr="008D3848">
        <w:rPr>
          <w:rFonts w:ascii="Tahoma" w:hAnsi="Tahoma" w:cs="Tahoma"/>
          <w:color w:val="000000"/>
          <w:sz w:val="18"/>
          <w:szCs w:val="18"/>
        </w:rPr>
        <w:softHyphen/>
        <w:t>ведение корней растений до разрушения плужной подошвы;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в </w:t>
      </w:r>
      <w:r w:rsidRPr="008D3848">
        <w:rPr>
          <w:rFonts w:ascii="Tahoma" w:hAnsi="Tahoma" w:cs="Tahoma"/>
          <w:color w:val="000000"/>
          <w:sz w:val="18"/>
          <w:szCs w:val="18"/>
        </w:rPr>
        <w:t xml:space="preserve">– разрушение плужной подошвы при глубокой обработке почвы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чи-зельным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плугом;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г </w:t>
      </w:r>
      <w:r w:rsidRPr="008D3848">
        <w:rPr>
          <w:rFonts w:ascii="Tahoma" w:hAnsi="Tahoma" w:cs="Tahoma"/>
          <w:color w:val="000000"/>
          <w:sz w:val="18"/>
          <w:szCs w:val="18"/>
        </w:rPr>
        <w:t xml:space="preserve">– передвижение воды и поведение корней растений после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разру-шения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плужной подошвы;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д</w:t>
      </w:r>
      <w:r w:rsidRPr="008D3848">
        <w:rPr>
          <w:rFonts w:ascii="Tahoma" w:hAnsi="Tahoma" w:cs="Tahoma"/>
          <w:color w:val="000000"/>
          <w:sz w:val="18"/>
          <w:szCs w:val="18"/>
        </w:rPr>
        <w:t xml:space="preserve"> - профиль дна борозды после рыхления почвы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чизельным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плугом;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1 </w:t>
      </w:r>
      <w:r w:rsidRPr="008D3848">
        <w:rPr>
          <w:rFonts w:ascii="Tahoma" w:hAnsi="Tahoma" w:cs="Tahoma"/>
          <w:color w:val="000000"/>
          <w:sz w:val="18"/>
          <w:szCs w:val="18"/>
        </w:rPr>
        <w:t>-плужная подошва;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2</w:t>
      </w:r>
      <w:r w:rsidRPr="008D3848">
        <w:rPr>
          <w:rFonts w:ascii="Tahoma" w:hAnsi="Tahoma" w:cs="Tahoma"/>
          <w:color w:val="000000"/>
          <w:sz w:val="18"/>
          <w:szCs w:val="18"/>
        </w:rPr>
        <w:t> - нижний слой;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3</w:t>
      </w:r>
      <w:r w:rsidRPr="008D3848">
        <w:rPr>
          <w:rFonts w:ascii="Tahoma" w:hAnsi="Tahoma" w:cs="Tahoma"/>
          <w:color w:val="000000"/>
          <w:sz w:val="18"/>
          <w:szCs w:val="18"/>
        </w:rPr>
        <w:t>- корпус плуга;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4</w:t>
      </w:r>
      <w:r w:rsidRPr="008D3848">
        <w:rPr>
          <w:rFonts w:ascii="Tahoma" w:hAnsi="Tahoma" w:cs="Tahoma"/>
          <w:color w:val="000000"/>
          <w:sz w:val="18"/>
          <w:szCs w:val="18"/>
        </w:rPr>
        <w:t>  пахотный слой;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5</w:t>
      </w:r>
      <w:r w:rsidRPr="008D3848">
        <w:rPr>
          <w:rFonts w:ascii="Tahoma" w:hAnsi="Tahoma" w:cs="Tahoma"/>
          <w:color w:val="000000"/>
          <w:sz w:val="18"/>
          <w:szCs w:val="18"/>
        </w:rPr>
        <w:t>- разрыхленный слой;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6</w:t>
      </w:r>
      <w:r w:rsidRPr="008D3848">
        <w:rPr>
          <w:rFonts w:ascii="Tahoma" w:hAnsi="Tahoma" w:cs="Tahoma"/>
          <w:color w:val="000000"/>
          <w:sz w:val="18"/>
          <w:szCs w:val="18"/>
        </w:rPr>
        <w:t>- рыхлитель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95700" cy="2028825"/>
            <wp:effectExtent l="0" t="0" r="0" b="9525"/>
            <wp:wrapSquare wrapText="bothSides"/>
            <wp:docPr id="4" name="Рисунок 4" descr="Сельскохозяйствен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льскохозяйственные маш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48">
        <w:rPr>
          <w:rFonts w:ascii="Tahoma" w:hAnsi="Tahoma" w:cs="Tahoma"/>
          <w:color w:val="000000"/>
          <w:sz w:val="18"/>
          <w:szCs w:val="18"/>
        </w:rPr>
        <w:t>Рис. 2.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Рабочие органы плугов-рыхлителей</w:t>
      </w:r>
      <w:r w:rsidRPr="008D3848">
        <w:rPr>
          <w:rFonts w:ascii="Tahoma" w:hAnsi="Tahoma" w:cs="Tahoma"/>
          <w:color w:val="000000"/>
          <w:sz w:val="18"/>
          <w:szCs w:val="18"/>
        </w:rPr>
        <w:t>: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371475"/>
            <wp:effectExtent l="0" t="0" r="9525" b="9525"/>
            <wp:wrapSquare wrapText="bothSides"/>
            <wp:docPr id="3" name="Рисунок 3" descr="Сельскохозяйствен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льскохозяйственные маши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371475"/>
            <wp:effectExtent l="0" t="0" r="9525" b="9525"/>
            <wp:wrapSquare wrapText="bothSides"/>
            <wp:docPr id="2" name="Рисунок 2" descr="Сельскохозяйствен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льскохозяйственные маши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" cy="371475"/>
            <wp:effectExtent l="0" t="0" r="9525" b="9525"/>
            <wp:wrapSquare wrapText="bothSides"/>
            <wp:docPr id="1" name="Рисунок 1" descr="Сельскохозяйствен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льскохозяйственные маши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а</w:t>
      </w:r>
      <w:r w:rsidRPr="008D3848">
        <w:rPr>
          <w:rFonts w:ascii="Tahoma" w:hAnsi="Tahoma" w:cs="Tahoma"/>
          <w:color w:val="000000"/>
          <w:sz w:val="18"/>
          <w:szCs w:val="18"/>
        </w:rPr>
        <w:t xml:space="preserve"> —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рыхлительный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корпус; </w:t>
      </w:r>
      <w:proofErr w:type="spellStart"/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б</w:t>
      </w:r>
      <w:proofErr w:type="gramStart"/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,в</w:t>
      </w:r>
      <w:proofErr w:type="spellEnd"/>
      <w:proofErr w:type="gramEnd"/>
      <w:r w:rsidRPr="008D3848">
        <w:rPr>
          <w:rFonts w:ascii="Tahoma" w:hAnsi="Tahoma" w:cs="Tahoma"/>
          <w:color w:val="000000"/>
          <w:sz w:val="18"/>
          <w:szCs w:val="18"/>
        </w:rPr>
        <w:t xml:space="preserve"> —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рыхлительные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стойки;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1</w:t>
      </w:r>
      <w:r w:rsidRPr="008D3848">
        <w:rPr>
          <w:rFonts w:ascii="Tahoma" w:hAnsi="Tahoma" w:cs="Tahoma"/>
          <w:color w:val="000000"/>
          <w:sz w:val="18"/>
          <w:szCs w:val="18"/>
        </w:rPr>
        <w:t>— кронштейн;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2</w:t>
      </w:r>
      <w:r w:rsidRPr="008D3848">
        <w:rPr>
          <w:rFonts w:ascii="Tahoma" w:hAnsi="Tahoma" w:cs="Tahoma"/>
          <w:color w:val="000000"/>
          <w:sz w:val="18"/>
          <w:szCs w:val="18"/>
        </w:rPr>
        <w:t> — болт;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3</w:t>
      </w:r>
      <w:r w:rsidRPr="008D3848">
        <w:rPr>
          <w:rFonts w:ascii="Tahoma" w:hAnsi="Tahoma" w:cs="Tahoma"/>
          <w:color w:val="000000"/>
          <w:sz w:val="18"/>
          <w:szCs w:val="18"/>
        </w:rPr>
        <w:t>— накладка;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4</w:t>
      </w:r>
      <w:r w:rsidRPr="008D3848">
        <w:rPr>
          <w:rFonts w:ascii="Tahoma" w:hAnsi="Tahoma" w:cs="Tahoma"/>
          <w:color w:val="000000"/>
          <w:sz w:val="18"/>
          <w:szCs w:val="18"/>
        </w:rPr>
        <w:t>— брус рамы;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5</w:t>
      </w:r>
      <w:r w:rsidRPr="008D3848">
        <w:rPr>
          <w:rFonts w:ascii="Tahoma" w:hAnsi="Tahoma" w:cs="Tahoma"/>
          <w:color w:val="000000"/>
          <w:sz w:val="18"/>
          <w:szCs w:val="18"/>
        </w:rPr>
        <w:t> — дисковый нож;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6,15 </w:t>
      </w:r>
      <w:r w:rsidRPr="008D3848">
        <w:rPr>
          <w:rFonts w:ascii="Tahoma" w:hAnsi="Tahoma" w:cs="Tahoma"/>
          <w:color w:val="000000"/>
          <w:sz w:val="18"/>
          <w:szCs w:val="18"/>
        </w:rPr>
        <w:t>— лемеха;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7</w:t>
      </w:r>
      <w:r w:rsidRPr="008D3848">
        <w:rPr>
          <w:rFonts w:ascii="Tahoma" w:hAnsi="Tahoma" w:cs="Tahoma"/>
          <w:color w:val="000000"/>
          <w:sz w:val="18"/>
          <w:szCs w:val="18"/>
        </w:rPr>
        <w:t>— долото;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8,16 </w:t>
      </w:r>
      <w:r w:rsidRPr="008D3848">
        <w:rPr>
          <w:rFonts w:ascii="Tahoma" w:hAnsi="Tahoma" w:cs="Tahoma"/>
          <w:color w:val="000000"/>
          <w:sz w:val="18"/>
          <w:szCs w:val="18"/>
        </w:rPr>
        <w:t>— башмаки;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9,17</w:t>
      </w:r>
      <w:r w:rsidRPr="008D3848">
        <w:rPr>
          <w:rFonts w:ascii="Tahoma" w:hAnsi="Tahoma" w:cs="Tahoma"/>
          <w:color w:val="000000"/>
          <w:sz w:val="18"/>
          <w:szCs w:val="18"/>
        </w:rPr>
        <w:t>— полевые доски;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10</w:t>
      </w:r>
      <w:r w:rsidRPr="008D3848">
        <w:rPr>
          <w:rFonts w:ascii="Tahoma" w:hAnsi="Tahoma" w:cs="Tahoma"/>
          <w:color w:val="000000"/>
          <w:sz w:val="18"/>
          <w:szCs w:val="18"/>
        </w:rPr>
        <w:t xml:space="preserve">— </w:t>
      </w:r>
      <w:proofErr w:type="spellStart"/>
      <w:r w:rsidRPr="008D3848">
        <w:rPr>
          <w:rFonts w:ascii="Tahoma" w:hAnsi="Tahoma" w:cs="Tahoma"/>
          <w:color w:val="000000"/>
          <w:sz w:val="18"/>
          <w:szCs w:val="18"/>
        </w:rPr>
        <w:t>рьхлительная</w:t>
      </w:r>
      <w:proofErr w:type="spellEnd"/>
      <w:r w:rsidRPr="008D3848">
        <w:rPr>
          <w:rFonts w:ascii="Tahoma" w:hAnsi="Tahoma" w:cs="Tahoma"/>
          <w:color w:val="000000"/>
          <w:sz w:val="18"/>
          <w:szCs w:val="18"/>
        </w:rPr>
        <w:t xml:space="preserve"> пластина; </w:t>
      </w: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11,12,13 </w:t>
      </w:r>
      <w:r w:rsidRPr="008D3848">
        <w:rPr>
          <w:rFonts w:ascii="Tahoma" w:hAnsi="Tahoma" w:cs="Tahoma"/>
          <w:color w:val="000000"/>
          <w:sz w:val="18"/>
          <w:szCs w:val="18"/>
        </w:rPr>
        <w:t>— стойки;</w:t>
      </w:r>
    </w:p>
    <w:p w:rsidR="00DC612D" w:rsidRPr="008D3848" w:rsidRDefault="00DC612D" w:rsidP="00DC61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</w:rPr>
        <w:t>14 </w:t>
      </w:r>
      <w:r w:rsidRPr="008D3848">
        <w:rPr>
          <w:rFonts w:ascii="Tahoma" w:hAnsi="Tahoma" w:cs="Tahoma"/>
          <w:color w:val="000000"/>
          <w:sz w:val="18"/>
          <w:szCs w:val="18"/>
        </w:rPr>
        <w:t>— накладка</w:t>
      </w:r>
    </w:p>
    <w:p w:rsidR="00DC612D" w:rsidRPr="008D3848" w:rsidRDefault="00DC612D" w:rsidP="00DC612D">
      <w:pPr>
        <w:shd w:val="clear" w:color="auto" w:fill="FFFFFF"/>
        <w:spacing w:after="270" w:line="240" w:lineRule="auto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D3848">
        <w:rPr>
          <w:rFonts w:ascii="Tahoma" w:hAnsi="Tahoma" w:cs="Tahoma"/>
          <w:color w:val="000000"/>
          <w:sz w:val="18"/>
          <w:szCs w:val="18"/>
        </w:rPr>
        <w:t>Отличие их заключается лишь в особой конструкции рабочих органов.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Плуги (рис 2) снабжены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рыхлительными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корпусами и дисковыми но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жами c рифленой режущей кромкой, установленными парами на раме 4. Стойка 11 корпуса изогнута, ее нижняя (рабо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чая) часть наклонена в продольн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о-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и поперечно-вертикальной плоскостях к горизонтали под острым углом. Угол наклона в по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перечно-вертикальной плоскости составляет 45°. К стойке жестко прикреплены лемеха 6, башмак 8, сменное долото 7 и полевая дос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ка 9. Сзади со стойкой на шарнирной подвеске соединена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тельная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пластина 10. Перед каждой стойкой также наклонно уста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новлен дисковый нож 5, плоскость его вращения совпадает c плоскостью резания лемехов.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При движении плуга нож разрезает верхнюю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з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a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дернелyю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часть пласта по линии движения стойки и предотвращает чрезмерное разрушение дернины.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lastRenderedPageBreak/>
        <w:t xml:space="preserve">Вырезанный ножом и лемехами ромбовидный почвенный пласт деформируется стойкой и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рыхлительной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пластиной в про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дольной и поперечной плоскостях.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Возникающие при этом на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пряжения изгиба и растяжения способствуют интенсивному кро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шению пласта. При сходе пласта c пластины 10 и стойки 11 проис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ходит его дополнительное крошение от удара при падении в бо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розду. При этом исключаются перемешивание и вынос на поверхность почвенных агрегатов. Степень рыхления регулируют изменением наклона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рыхлительных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пластин, расстояния между корпусами и скоростью движения плуга.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Плуги рыхлители ПБ-5 и ПБ-9 предназначены для безотваль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ной обработки почв на глубину до 35 см. Плуг ПБ-5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агрегатируют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c тракторами класса 3, ПБ-9 — c тракторами класса 5. Рабочим ор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ганом этих плугов является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x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лительная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стойка 12 состоящая из прямолинейной и криволинейной частей. Стойка обеспечивает рыхление пахотного слоя почвы c сохранением стер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ни и растительных остатков.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Рыхлительные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стойки устанавливают на плугах об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щего назначения.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Чизельный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плуг-глубокорыхлитель ПЧ-4,5 предназначен для рыхления почвы по отвальным и безотвальным фонам c углублением пахотного горизонта, безотвальной обработки почвы взамен зяблевой и весенней вспашек, глубокого рыхления почвы на скло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нах и паровых полях. Плуг состоит из треугольной рамы 4 рабочих органов—рыхлителей 1, опорных колес 2, ре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гулятора 5 глубины обработки, навески 3 и подставки. На раме плуга можно установить девять или 11 рыхлителей.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Составные части рыхлителя: стойка, обтекатель, долото шириной 60 мм или стрельчатая лапа захватом 270 мм. Долото крепят к стойке рыхлителя осью со шплинтом, a стрельчатую лапу — болтами. Долотообразные рыхлители разрыхляют уплот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ненную подошву, образовавшуюся после вспашки лемешными плугами на глубину до 45 см, что обеспечивает хорошую аэрацию и инфильтрацию дождевых и талых вод. Стрельчатые лапы 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при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меняют </w:t>
      </w:r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для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рыхления тяжелых почв на глубину до 30 см c одновременным подрезанием сорной растительности.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Шаг расстановки рыхлителей зависит от глубины обработки. Глубину хода рыхлителей регулируют вращением винта регулято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ра, изменяя положение колес по высоте.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Чизельную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вспашку в зависимости от плотности почвы выполняют в несколько прохо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дов. Для дополнительного крошения верхнего слоя почвы и вы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равнивания поверхности поля к плугу присоединяют бороны или </w:t>
      </w:r>
      <w:proofErr w:type="spellStart"/>
      <w:proofErr w:type="gram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c</w:t>
      </w:r>
      <w:proofErr w:type="gramEnd"/>
      <w:r w:rsidRPr="008D3848">
        <w:rPr>
          <w:rFonts w:ascii="Times New Roman" w:hAnsi="Times New Roman" w:cs="Times New Roman"/>
          <w:color w:val="000000"/>
          <w:sz w:val="24"/>
          <w:szCs w:val="18"/>
        </w:rPr>
        <w:t>пециaльное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приспособление ПСТ-4,5, составленное из бруса c валом и закрепленных на нем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ножевидных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рыхлителей.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Ширина захвата плуга 4,5 м, рабочая скорость до 6 км/ч, про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 xml:space="preserve">изводительность 3,2 га/ч. Его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агрегатируют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c тракторами K-700 и К-701.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Чизельный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плуг ПЧ-2,5 шириной захвата 2,5 м </w:t>
      </w:r>
      <w:proofErr w:type="spellStart"/>
      <w:r w:rsidRPr="008D3848">
        <w:rPr>
          <w:rFonts w:ascii="Times New Roman" w:hAnsi="Times New Roman" w:cs="Times New Roman"/>
          <w:color w:val="000000"/>
          <w:sz w:val="24"/>
          <w:szCs w:val="18"/>
        </w:rPr>
        <w:t>агрегатируют</w:t>
      </w:r>
      <w:proofErr w:type="spellEnd"/>
      <w:r w:rsidRPr="008D3848">
        <w:rPr>
          <w:rFonts w:ascii="Times New Roman" w:hAnsi="Times New Roman" w:cs="Times New Roman"/>
          <w:color w:val="000000"/>
          <w:sz w:val="24"/>
          <w:szCs w:val="18"/>
        </w:rPr>
        <w:t xml:space="preserve"> c тракторами T-150, T-150К.</w:t>
      </w:r>
    </w:p>
    <w:p w:rsidR="00DC612D" w:rsidRPr="008D3848" w:rsidRDefault="00DC612D" w:rsidP="00DC61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18"/>
        </w:rPr>
      </w:pPr>
      <w:r w:rsidRPr="008D3848">
        <w:rPr>
          <w:rFonts w:ascii="Times New Roman" w:hAnsi="Times New Roman" w:cs="Times New Roman"/>
          <w:color w:val="000000"/>
          <w:sz w:val="24"/>
          <w:szCs w:val="18"/>
        </w:rPr>
        <w:t>Для рыхления почвы на глубину 0,8 - 1 м применяют мелиора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тивные глубокорыхлители, рабочие органы которых оборудованы вибрирующими наконечниками (ножами). Глубокое рыхление улучшает аэрацию сухих почв, исключает застойное переувлажне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ние и обезвоживание глубоколежащих слоев подпахотного гори</w:t>
      </w:r>
      <w:r w:rsidRPr="008D3848">
        <w:rPr>
          <w:rFonts w:ascii="Times New Roman" w:hAnsi="Times New Roman" w:cs="Times New Roman"/>
          <w:color w:val="000000"/>
          <w:sz w:val="24"/>
          <w:szCs w:val="18"/>
        </w:rPr>
        <w:softHyphen/>
        <w:t>зонта.</w:t>
      </w:r>
    </w:p>
    <w:p w:rsidR="00DC612D" w:rsidRDefault="00DC612D" w:rsidP="00DC612D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 w:rsidRPr="008D3848">
        <w:rPr>
          <w:rFonts w:ascii="Tahoma" w:hAnsi="Tahoma" w:cs="Tahoma"/>
          <w:color w:val="000000"/>
          <w:sz w:val="18"/>
          <w:szCs w:val="18"/>
        </w:rPr>
        <w:br/>
      </w:r>
    </w:p>
    <w:p w:rsidR="00BF0BC9" w:rsidRDefault="00BF0BC9"/>
    <w:sectPr w:rsidR="00BF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E"/>
    <w:rsid w:val="00BF0BC9"/>
    <w:rsid w:val="00DC612D"/>
    <w:rsid w:val="00E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2017-10-30T11:05:00Z</dcterms:created>
  <dcterms:modified xsi:type="dcterms:W3CDTF">2017-10-30T11:06:00Z</dcterms:modified>
</cp:coreProperties>
</file>